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992E2" w14:textId="77777777" w:rsidR="0060542B" w:rsidRDefault="0060542B" w:rsidP="0060542B">
      <w:pPr>
        <w:spacing w:after="120"/>
        <w:jc w:val="center"/>
        <w:rPr>
          <w:rFonts w:cstheme="minorHAnsi"/>
          <w:color w:val="0070C0"/>
          <w:sz w:val="28"/>
          <w:szCs w:val="28"/>
          <w:lang w:val="mk-MK"/>
        </w:rPr>
      </w:pPr>
    </w:p>
    <w:p w14:paraId="77C409BC" w14:textId="78174EFD" w:rsidR="00DE05DC" w:rsidRPr="003F0CBE" w:rsidRDefault="00DE05DC" w:rsidP="0060542B">
      <w:pPr>
        <w:spacing w:after="120"/>
        <w:jc w:val="center"/>
        <w:rPr>
          <w:rFonts w:cstheme="minorHAnsi"/>
          <w:b/>
          <w:color w:val="0070C0"/>
          <w:sz w:val="32"/>
          <w:szCs w:val="32"/>
          <w:lang w:val="mk-MK"/>
        </w:rPr>
      </w:pPr>
      <w:r w:rsidRPr="003F0CBE">
        <w:rPr>
          <w:rFonts w:cstheme="minorHAnsi"/>
          <w:b/>
          <w:color w:val="0070C0"/>
          <w:sz w:val="32"/>
          <w:szCs w:val="32"/>
          <w:lang w:val="mk-MK"/>
        </w:rPr>
        <w:t xml:space="preserve">Упатство за </w:t>
      </w:r>
      <w:r w:rsidR="00454C19" w:rsidRPr="003F0CBE">
        <w:rPr>
          <w:rFonts w:cstheme="minorHAnsi"/>
          <w:b/>
          <w:color w:val="0070C0"/>
          <w:sz w:val="32"/>
          <w:szCs w:val="32"/>
          <w:lang w:val="mk-MK"/>
        </w:rPr>
        <w:t>пополнување на формула</w:t>
      </w:r>
      <w:r w:rsidR="000060FB" w:rsidRPr="003F0CBE">
        <w:rPr>
          <w:rFonts w:cstheme="minorHAnsi"/>
          <w:b/>
          <w:color w:val="0070C0"/>
          <w:sz w:val="32"/>
          <w:szCs w:val="32"/>
          <w:lang w:val="mk-MK"/>
        </w:rPr>
        <w:t>р</w:t>
      </w:r>
      <w:r w:rsidRPr="003F0CBE">
        <w:rPr>
          <w:rFonts w:cstheme="minorHAnsi"/>
          <w:b/>
          <w:color w:val="0070C0"/>
          <w:sz w:val="32"/>
          <w:szCs w:val="32"/>
          <w:lang w:val="mk-MK"/>
        </w:rPr>
        <w:t xml:space="preserve"> за буџет</w:t>
      </w:r>
    </w:p>
    <w:p w14:paraId="79876743" w14:textId="5A916EDF" w:rsidR="000060FB" w:rsidRDefault="000060FB" w:rsidP="0060542B">
      <w:pPr>
        <w:spacing w:after="120"/>
        <w:jc w:val="center"/>
        <w:rPr>
          <w:rFonts w:cstheme="minorHAnsi"/>
          <w:b/>
          <w:color w:val="0070C0"/>
          <w:sz w:val="28"/>
          <w:szCs w:val="28"/>
          <w:lang w:val="mk-MK"/>
        </w:rPr>
      </w:pPr>
    </w:p>
    <w:p w14:paraId="47DF8DC4" w14:textId="7C4B1139" w:rsidR="003F0CBE" w:rsidRDefault="0064363A" w:rsidP="003F0CBE">
      <w:pPr>
        <w:rPr>
          <w:color w:val="000000" w:themeColor="text1"/>
          <w:lang w:val="mk-MK"/>
        </w:rPr>
      </w:pPr>
      <w:r w:rsidRPr="007A568E">
        <w:rPr>
          <w:color w:val="000000" w:themeColor="text1"/>
          <w:lang w:val="mk-MK"/>
        </w:rPr>
        <w:t xml:space="preserve">Ве молиме пополнете го </w:t>
      </w:r>
      <w:r>
        <w:rPr>
          <w:color w:val="000000" w:themeColor="text1"/>
          <w:lang w:val="mk-MK"/>
        </w:rPr>
        <w:t>формуларот за Буџет (Е</w:t>
      </w:r>
      <w:proofErr w:type="spellStart"/>
      <w:r>
        <w:rPr>
          <w:color w:val="000000" w:themeColor="text1"/>
        </w:rPr>
        <w:t>xcel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mk-MK"/>
        </w:rPr>
        <w:t>документ)</w:t>
      </w:r>
      <w:r w:rsidRPr="007A568E">
        <w:rPr>
          <w:color w:val="000000" w:themeColor="text1"/>
          <w:lang w:val="mk-MK"/>
        </w:rPr>
        <w:t>. Не заборавајте да проверите дали активностите опишани во описот на проектот се рефлектираат во буџетот на проектот.</w:t>
      </w:r>
    </w:p>
    <w:p w14:paraId="48BC9CE6" w14:textId="77777777" w:rsidR="0064363A" w:rsidRDefault="0064363A" w:rsidP="0064363A">
      <w:pPr>
        <w:rPr>
          <w:color w:val="000000" w:themeColor="text1"/>
          <w:u w:val="single"/>
          <w:lang w:val="mk-MK"/>
        </w:rPr>
      </w:pPr>
    </w:p>
    <w:p w14:paraId="54C05FE7" w14:textId="469B7270" w:rsidR="0064363A" w:rsidRDefault="0064363A" w:rsidP="003F0CBE">
      <w:pPr>
        <w:rPr>
          <w:color w:val="000000" w:themeColor="text1"/>
          <w:u w:val="single"/>
          <w:lang w:val="mk-MK"/>
        </w:rPr>
      </w:pPr>
      <w:r w:rsidRPr="007A568E">
        <w:rPr>
          <w:color w:val="000000" w:themeColor="text1"/>
          <w:u w:val="single"/>
          <w:lang w:val="mk-MK"/>
        </w:rPr>
        <w:t>Ве молиме внимавајте на следново при пополнување на буџетот:</w:t>
      </w:r>
    </w:p>
    <w:p w14:paraId="54820675" w14:textId="77777777" w:rsidR="0064363A" w:rsidRPr="0064363A" w:rsidRDefault="0064363A" w:rsidP="003F0CBE">
      <w:pPr>
        <w:rPr>
          <w:color w:val="000000" w:themeColor="text1"/>
          <w:u w:val="single"/>
          <w:lang w:val="mk-MK"/>
        </w:rPr>
      </w:pPr>
    </w:p>
    <w:p w14:paraId="60BEBF83" w14:textId="77777777" w:rsidR="00E23044" w:rsidRDefault="003F0CBE" w:rsidP="003F0CBE">
      <w:pPr>
        <w:pStyle w:val="ListParagraph"/>
        <w:numPr>
          <w:ilvl w:val="0"/>
          <w:numId w:val="14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 w:rsidRPr="005A53EB">
        <w:rPr>
          <w:i/>
          <w:color w:val="000000" w:themeColor="text1"/>
          <w:lang w:val="mk-MK"/>
        </w:rPr>
        <w:t xml:space="preserve">Категорија 1. </w:t>
      </w:r>
      <w:r w:rsidRPr="003F0CBE">
        <w:rPr>
          <w:b/>
          <w:i/>
          <w:color w:val="000000" w:themeColor="text1"/>
          <w:lang w:val="mk-MK"/>
        </w:rPr>
        <w:t>Човечките ресурси</w:t>
      </w:r>
      <w:r w:rsidRPr="005A53EB">
        <w:rPr>
          <w:color w:val="000000" w:themeColor="text1"/>
          <w:lang w:val="mk-MK"/>
        </w:rPr>
        <w:t xml:space="preserve"> </w:t>
      </w:r>
    </w:p>
    <w:p w14:paraId="39DB4664" w14:textId="77777777" w:rsidR="00E23044" w:rsidRDefault="00E23044" w:rsidP="00E23044">
      <w:pPr>
        <w:pStyle w:val="ListParagraph"/>
        <w:spacing w:before="120" w:after="240" w:line="240" w:lineRule="auto"/>
        <w:jc w:val="both"/>
        <w:rPr>
          <w:color w:val="000000" w:themeColor="text1"/>
          <w:lang w:val="mk-MK"/>
        </w:rPr>
      </w:pPr>
    </w:p>
    <w:p w14:paraId="263CB511" w14:textId="1A5DA764" w:rsidR="00E23044" w:rsidRPr="00E23044" w:rsidRDefault="00E23044" w:rsidP="00E23044">
      <w:pPr>
        <w:pStyle w:val="ListParagraph"/>
        <w:numPr>
          <w:ilvl w:val="1"/>
          <w:numId w:val="17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 w:rsidRPr="00E23044">
        <w:rPr>
          <w:b/>
          <w:color w:val="000000" w:themeColor="text1"/>
          <w:lang w:val="mk-MK"/>
        </w:rPr>
        <w:t>Бруто плати -</w:t>
      </w:r>
      <w:r>
        <w:rPr>
          <w:color w:val="000000" w:themeColor="text1"/>
          <w:lang w:val="mk-MK"/>
        </w:rPr>
        <w:t xml:space="preserve"> </w:t>
      </w:r>
      <w:r w:rsidR="003F0CBE" w:rsidRPr="005A53EB">
        <w:rPr>
          <w:color w:val="000000" w:themeColor="text1"/>
          <w:lang w:val="mk-MK"/>
        </w:rPr>
        <w:t xml:space="preserve">треба да го вклучуваат персоналот ангажиран за проектот, а којшто е </w:t>
      </w:r>
      <w:r w:rsidR="003F0CBE" w:rsidRPr="005A53EB">
        <w:rPr>
          <w:color w:val="000000" w:themeColor="text1"/>
          <w:u w:val="single"/>
          <w:lang w:val="mk-MK"/>
        </w:rPr>
        <w:t>вработен</w:t>
      </w:r>
      <w:r w:rsidR="003F0CBE" w:rsidRPr="005A53EB">
        <w:rPr>
          <w:color w:val="000000" w:themeColor="text1"/>
          <w:lang w:val="mk-MK"/>
        </w:rPr>
        <w:t xml:space="preserve"> во организацијата-апликант/ко-апликант. Треба да се пресметаат бруто плати, вклучително и надоместоци за социјално осигурување и други слични трошо</w:t>
      </w:r>
      <w:r>
        <w:rPr>
          <w:color w:val="000000" w:themeColor="text1"/>
          <w:lang w:val="mk-MK"/>
        </w:rPr>
        <w:t>ци.</w:t>
      </w:r>
    </w:p>
    <w:p w14:paraId="4E802C9F" w14:textId="77777777" w:rsidR="00E23044" w:rsidRPr="00E23044" w:rsidRDefault="00E23044" w:rsidP="00E23044">
      <w:pPr>
        <w:pStyle w:val="ListParagraph"/>
        <w:spacing w:before="120" w:after="240" w:line="240" w:lineRule="auto"/>
        <w:ind w:left="1080"/>
        <w:jc w:val="both"/>
        <w:rPr>
          <w:color w:val="000000" w:themeColor="text1"/>
          <w:lang w:val="mk-MK"/>
        </w:rPr>
      </w:pPr>
    </w:p>
    <w:p w14:paraId="2DD73EC6" w14:textId="78351B0A" w:rsidR="00E23044" w:rsidRDefault="00E23044" w:rsidP="00E23044">
      <w:pPr>
        <w:pStyle w:val="ListParagraph"/>
        <w:numPr>
          <w:ilvl w:val="1"/>
          <w:numId w:val="19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 w:rsidRPr="00E23044">
        <w:rPr>
          <w:b/>
          <w:color w:val="000000" w:themeColor="text1"/>
        </w:rPr>
        <w:t>Per diems for missions/travels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mk-MK"/>
        </w:rPr>
        <w:t>трошоци за</w:t>
      </w:r>
      <w:r w:rsidR="00F70416">
        <w:rPr>
          <w:color w:val="000000" w:themeColor="text1"/>
        </w:rPr>
        <w:t xml:space="preserve"> </w:t>
      </w:r>
      <w:r w:rsidR="00F70416">
        <w:rPr>
          <w:color w:val="000000" w:themeColor="text1"/>
          <w:lang w:val="mk-MK"/>
        </w:rPr>
        <w:t>дневници за</w:t>
      </w:r>
      <w:r>
        <w:rPr>
          <w:color w:val="000000" w:themeColor="text1"/>
          <w:lang w:val="mk-MK"/>
        </w:rPr>
        <w:t xml:space="preserve"> </w:t>
      </w:r>
      <w:r w:rsidR="00F70416">
        <w:rPr>
          <w:color w:val="000000" w:themeColor="text1"/>
          <w:lang w:val="mk-MK"/>
        </w:rPr>
        <w:t>службен</w:t>
      </w:r>
      <w:r w:rsidR="00567DCA">
        <w:rPr>
          <w:color w:val="000000" w:themeColor="text1"/>
          <w:lang w:val="mk-MK"/>
        </w:rPr>
        <w:t>и патувања</w:t>
      </w:r>
      <w:r w:rsidR="00F70416">
        <w:rPr>
          <w:color w:val="000000" w:themeColor="text1"/>
          <w:lang w:val="mk-MK"/>
        </w:rPr>
        <w:t xml:space="preserve"> поврзан</w:t>
      </w:r>
      <w:r w:rsidR="00567DCA">
        <w:rPr>
          <w:color w:val="000000" w:themeColor="text1"/>
          <w:lang w:val="mk-MK"/>
        </w:rPr>
        <w:t>и</w:t>
      </w:r>
      <w:r w:rsidR="00F70416">
        <w:rPr>
          <w:color w:val="000000" w:themeColor="text1"/>
          <w:lang w:val="mk-MK"/>
        </w:rPr>
        <w:t xml:space="preserve"> исклучиво со активностите на проектот.</w:t>
      </w:r>
    </w:p>
    <w:p w14:paraId="7CEF0FE1" w14:textId="77777777" w:rsidR="00224F0B" w:rsidRDefault="00224F0B" w:rsidP="00224F0B">
      <w:pPr>
        <w:pStyle w:val="ListParagraph"/>
        <w:spacing w:before="120" w:after="240" w:line="240" w:lineRule="auto"/>
        <w:ind w:left="1440"/>
        <w:jc w:val="both"/>
        <w:rPr>
          <w:color w:val="000000" w:themeColor="text1"/>
          <w:lang w:val="mk-MK"/>
        </w:rPr>
      </w:pPr>
    </w:p>
    <w:p w14:paraId="398F1568" w14:textId="2C6CDEA1" w:rsidR="00224F0B" w:rsidRPr="00224F0B" w:rsidRDefault="00224F0B" w:rsidP="00224F0B">
      <w:pPr>
        <w:pStyle w:val="ListParagraph"/>
        <w:numPr>
          <w:ilvl w:val="0"/>
          <w:numId w:val="14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bookmarkStart w:id="0" w:name="_Hlk50648882"/>
      <w:r>
        <w:rPr>
          <w:i/>
          <w:color w:val="000000" w:themeColor="text1"/>
          <w:lang w:val="mk-MK"/>
        </w:rPr>
        <w:t>Категорија 2</w:t>
      </w:r>
      <w:r w:rsidRPr="005A53EB">
        <w:rPr>
          <w:i/>
          <w:color w:val="000000" w:themeColor="text1"/>
          <w:lang w:val="mk-MK"/>
        </w:rPr>
        <w:t xml:space="preserve">. </w:t>
      </w:r>
      <w:r>
        <w:rPr>
          <w:b/>
          <w:i/>
          <w:color w:val="000000" w:themeColor="text1"/>
          <w:lang w:val="mk-MK"/>
        </w:rPr>
        <w:t>Транспорт</w:t>
      </w:r>
    </w:p>
    <w:bookmarkEnd w:id="0"/>
    <w:p w14:paraId="0186F839" w14:textId="77777777" w:rsidR="00224F0B" w:rsidRPr="00224F0B" w:rsidRDefault="00224F0B" w:rsidP="00224F0B">
      <w:pPr>
        <w:pStyle w:val="ListParagraph"/>
        <w:spacing w:before="120" w:after="240" w:line="240" w:lineRule="auto"/>
        <w:jc w:val="both"/>
        <w:rPr>
          <w:color w:val="000000" w:themeColor="text1"/>
          <w:lang w:val="mk-MK"/>
        </w:rPr>
      </w:pPr>
    </w:p>
    <w:p w14:paraId="37861B9E" w14:textId="15C260D8" w:rsidR="00224F0B" w:rsidRDefault="00224F0B" w:rsidP="00224F0B">
      <w:pPr>
        <w:pStyle w:val="ListParagraph"/>
        <w:spacing w:before="120" w:after="240" w:line="240" w:lineRule="auto"/>
        <w:jc w:val="both"/>
        <w:rPr>
          <w:color w:val="000000" w:themeColor="text1"/>
          <w:lang w:val="mk-MK"/>
        </w:rPr>
      </w:pPr>
      <w:r>
        <w:rPr>
          <w:i/>
          <w:color w:val="000000" w:themeColor="text1"/>
          <w:lang w:val="mk-MK"/>
        </w:rPr>
        <w:t>2.</w:t>
      </w:r>
      <w:r>
        <w:rPr>
          <w:color w:val="000000" w:themeColor="text1"/>
          <w:lang w:val="mk-MK"/>
        </w:rPr>
        <w:t>1 Трошоци за патување во странство поврзани со настани;</w:t>
      </w:r>
    </w:p>
    <w:p w14:paraId="446E38A8" w14:textId="1DCFF094" w:rsidR="00224F0B" w:rsidRDefault="00224F0B" w:rsidP="00F10EC2">
      <w:pPr>
        <w:pStyle w:val="ListParagraph"/>
        <w:numPr>
          <w:ilvl w:val="1"/>
          <w:numId w:val="23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Трошоци за локален транспорт за активности поврзани директно со проектот;</w:t>
      </w:r>
    </w:p>
    <w:p w14:paraId="6F7CC3AF" w14:textId="206BFE32" w:rsidR="00F70416" w:rsidRDefault="00F70416" w:rsidP="00224F0B">
      <w:pPr>
        <w:pStyle w:val="ListParagraph"/>
        <w:spacing w:before="120" w:after="240" w:line="240" w:lineRule="auto"/>
        <w:jc w:val="both"/>
        <w:rPr>
          <w:color w:val="000000" w:themeColor="text1"/>
          <w:lang w:val="mk-MK"/>
        </w:rPr>
      </w:pPr>
    </w:p>
    <w:p w14:paraId="0B045D18" w14:textId="3FFEEA53" w:rsidR="00F70416" w:rsidRDefault="00F70416" w:rsidP="00F70416">
      <w:pPr>
        <w:pStyle w:val="ListParagraph"/>
        <w:numPr>
          <w:ilvl w:val="0"/>
          <w:numId w:val="14"/>
        </w:numPr>
        <w:rPr>
          <w:b/>
          <w:bCs/>
          <w:i/>
          <w:iCs/>
          <w:color w:val="000000" w:themeColor="text1"/>
          <w:lang w:val="mk-MK"/>
        </w:rPr>
      </w:pPr>
      <w:r w:rsidRPr="00F70416">
        <w:rPr>
          <w:i/>
          <w:iCs/>
          <w:color w:val="000000" w:themeColor="text1"/>
          <w:lang w:val="mk-MK"/>
        </w:rPr>
        <w:t xml:space="preserve">Категорија </w:t>
      </w:r>
      <w:r>
        <w:rPr>
          <w:i/>
          <w:iCs/>
          <w:color w:val="000000" w:themeColor="text1"/>
          <w:lang w:val="mk-MK"/>
        </w:rPr>
        <w:t>3</w:t>
      </w:r>
      <w:r w:rsidRPr="00F70416">
        <w:rPr>
          <w:i/>
          <w:iCs/>
          <w:color w:val="000000" w:themeColor="text1"/>
          <w:lang w:val="mk-MK"/>
        </w:rPr>
        <w:t xml:space="preserve">. </w:t>
      </w:r>
      <w:r w:rsidRPr="00F70416">
        <w:rPr>
          <w:b/>
          <w:bCs/>
          <w:i/>
          <w:iCs/>
          <w:color w:val="000000" w:themeColor="text1"/>
          <w:lang w:val="mk-MK"/>
        </w:rPr>
        <w:t>Други трошоци, услуги</w:t>
      </w:r>
    </w:p>
    <w:p w14:paraId="66B160B2" w14:textId="77777777" w:rsidR="00F10EC2" w:rsidRDefault="00F10EC2" w:rsidP="00F10EC2">
      <w:pPr>
        <w:pStyle w:val="ListParagraph"/>
        <w:rPr>
          <w:i/>
          <w:iCs/>
          <w:color w:val="000000" w:themeColor="text1"/>
          <w:lang w:val="mk-MK"/>
        </w:rPr>
      </w:pPr>
    </w:p>
    <w:p w14:paraId="3170434D" w14:textId="516020C8" w:rsidR="00F10EC2" w:rsidRDefault="00F10EC2" w:rsidP="00F10EC2">
      <w:pPr>
        <w:pStyle w:val="ListParagraph"/>
        <w:rPr>
          <w:color w:val="000000" w:themeColor="text1"/>
        </w:rPr>
      </w:pPr>
      <w:r w:rsidRPr="00F10EC2">
        <w:rPr>
          <w:color w:val="000000" w:themeColor="text1"/>
          <w:lang w:val="mk-MK"/>
        </w:rPr>
        <w:t>Оваа категорија вклучува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mk-MK"/>
        </w:rPr>
        <w:t>трошоци за</w:t>
      </w:r>
      <w:r w:rsidRPr="00F10EC2">
        <w:rPr>
          <w:color w:val="000000" w:themeColor="text1"/>
        </w:rPr>
        <w:t>:</w:t>
      </w:r>
    </w:p>
    <w:p w14:paraId="6FD674D1" w14:textId="27B46C57" w:rsidR="00F10EC2" w:rsidRDefault="00F10EC2" w:rsidP="00F10EC2">
      <w:pPr>
        <w:pStyle w:val="ListParagraph"/>
        <w:numPr>
          <w:ilvl w:val="0"/>
          <w:numId w:val="22"/>
        </w:numPr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Публикации (дизајн и печатење)</w:t>
      </w:r>
    </w:p>
    <w:p w14:paraId="28FA5752" w14:textId="7D32D168" w:rsidR="00F10EC2" w:rsidRDefault="00F10EC2" w:rsidP="00F10EC2">
      <w:pPr>
        <w:pStyle w:val="ListParagraph"/>
        <w:numPr>
          <w:ilvl w:val="0"/>
          <w:numId w:val="22"/>
        </w:numPr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Истражувања</w:t>
      </w:r>
    </w:p>
    <w:p w14:paraId="6F5F5DC4" w14:textId="1B201EEC" w:rsidR="00F10EC2" w:rsidRDefault="00F10EC2" w:rsidP="00F10EC2">
      <w:pPr>
        <w:pStyle w:val="ListParagraph"/>
        <w:numPr>
          <w:ilvl w:val="0"/>
          <w:numId w:val="22"/>
        </w:numPr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Превод и толкување (пишан, симултан, консекутивен)</w:t>
      </w:r>
    </w:p>
    <w:p w14:paraId="2488F338" w14:textId="01CE192D" w:rsidR="00F10EC2" w:rsidRDefault="00F10EC2" w:rsidP="00F10EC2">
      <w:pPr>
        <w:pStyle w:val="ListParagraph"/>
        <w:numPr>
          <w:ilvl w:val="0"/>
          <w:numId w:val="22"/>
        </w:numPr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Трошоци за организација на настани (изнајмување простор, освежување, работни материјали и сл)</w:t>
      </w:r>
    </w:p>
    <w:p w14:paraId="039423F1" w14:textId="01949CDF" w:rsidR="00F70416" w:rsidRPr="00F10EC2" w:rsidRDefault="00F10EC2" w:rsidP="00F10EC2">
      <w:pPr>
        <w:pStyle w:val="ListParagraph"/>
        <w:numPr>
          <w:ilvl w:val="0"/>
          <w:numId w:val="22"/>
        </w:numPr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Трошоци за видливост (комуникација со јавноста, прмо-материјали, промоција на социјални мрежи и сл.)</w:t>
      </w:r>
    </w:p>
    <w:p w14:paraId="68B583AF" w14:textId="77777777" w:rsidR="009F19B2" w:rsidRDefault="009F19B2" w:rsidP="009F19B2">
      <w:pPr>
        <w:pStyle w:val="ListParagraph"/>
        <w:spacing w:before="120" w:after="240" w:line="240" w:lineRule="auto"/>
        <w:ind w:left="1440"/>
        <w:jc w:val="both"/>
        <w:rPr>
          <w:color w:val="000000" w:themeColor="text1"/>
          <w:lang w:val="mk-MK"/>
        </w:rPr>
      </w:pPr>
    </w:p>
    <w:p w14:paraId="0AF755A6" w14:textId="2FD12E4F" w:rsidR="00224F0B" w:rsidRDefault="009F19B2" w:rsidP="00224F0B">
      <w:pPr>
        <w:pStyle w:val="ListParagraph"/>
        <w:numPr>
          <w:ilvl w:val="0"/>
          <w:numId w:val="14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>
        <w:rPr>
          <w:i/>
          <w:color w:val="000000" w:themeColor="text1"/>
          <w:lang w:val="mk-MK"/>
        </w:rPr>
        <w:t xml:space="preserve">Категорија </w:t>
      </w:r>
      <w:r w:rsidR="00F70416">
        <w:rPr>
          <w:i/>
          <w:color w:val="000000" w:themeColor="text1"/>
          <w:lang w:val="mk-MK"/>
        </w:rPr>
        <w:t>4</w:t>
      </w:r>
      <w:r w:rsidRPr="005A53EB">
        <w:rPr>
          <w:i/>
          <w:color w:val="000000" w:themeColor="text1"/>
          <w:lang w:val="mk-MK"/>
        </w:rPr>
        <w:t xml:space="preserve">. </w:t>
      </w:r>
      <w:r w:rsidR="00224F0B">
        <w:rPr>
          <w:b/>
          <w:i/>
          <w:color w:val="000000" w:themeColor="text1"/>
          <w:lang w:val="mk-MK"/>
        </w:rPr>
        <w:t xml:space="preserve">Други трошоци </w:t>
      </w:r>
    </w:p>
    <w:p w14:paraId="5B4BBEB0" w14:textId="77777777" w:rsidR="00224F0B" w:rsidRPr="00224F0B" w:rsidRDefault="00224F0B" w:rsidP="00224F0B">
      <w:pPr>
        <w:pStyle w:val="ListParagraph"/>
        <w:spacing w:before="120" w:after="240" w:line="240" w:lineRule="auto"/>
        <w:jc w:val="both"/>
        <w:rPr>
          <w:color w:val="000000" w:themeColor="text1"/>
          <w:lang w:val="mk-MK"/>
        </w:rPr>
      </w:pPr>
    </w:p>
    <w:p w14:paraId="3D20AA69" w14:textId="77777777" w:rsidR="007663E3" w:rsidRDefault="00224F0B" w:rsidP="00F10EC2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 w:rsidRPr="00F70416">
        <w:rPr>
          <w:color w:val="000000" w:themeColor="text1"/>
          <w:lang w:val="mk-MK"/>
        </w:rPr>
        <w:t>Доколку раководителот на проектот/координаторот на апликантот/ко-апликантот биде ангажиран врз основа на договор</w:t>
      </w:r>
      <w:r w:rsidR="00F70416" w:rsidRPr="00F70416">
        <w:rPr>
          <w:color w:val="000000" w:themeColor="text1"/>
          <w:lang w:val="mk-MK"/>
        </w:rPr>
        <w:t xml:space="preserve"> за дело</w:t>
      </w:r>
      <w:r w:rsidR="00F70416">
        <w:rPr>
          <w:color w:val="000000" w:themeColor="text1"/>
          <w:lang w:val="mk-MK"/>
        </w:rPr>
        <w:t xml:space="preserve"> трошокот за неговиот ангажман </w:t>
      </w:r>
    </w:p>
    <w:p w14:paraId="2652BF47" w14:textId="77777777" w:rsidR="007663E3" w:rsidRDefault="007663E3" w:rsidP="007663E3">
      <w:pPr>
        <w:pStyle w:val="ListParagraph"/>
        <w:spacing w:before="120" w:after="240" w:line="240" w:lineRule="auto"/>
        <w:ind w:left="1080"/>
        <w:jc w:val="both"/>
        <w:rPr>
          <w:color w:val="000000" w:themeColor="text1"/>
          <w:lang w:val="mk-MK"/>
        </w:rPr>
      </w:pPr>
      <w:bookmarkStart w:id="1" w:name="_GoBack"/>
      <w:bookmarkEnd w:id="1"/>
    </w:p>
    <w:p w14:paraId="1DBADE16" w14:textId="77777777" w:rsidR="007663E3" w:rsidRDefault="007663E3" w:rsidP="00F10EC2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  <w:lang w:val="mk-MK"/>
        </w:rPr>
      </w:pPr>
    </w:p>
    <w:p w14:paraId="7B5A07DA" w14:textId="4F80DD69" w:rsidR="00224F0B" w:rsidRDefault="00F70416" w:rsidP="007663E3">
      <w:pPr>
        <w:pStyle w:val="ListParagraph"/>
        <w:spacing w:before="120" w:after="240" w:line="240" w:lineRule="auto"/>
        <w:ind w:left="1080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треба да се буџетира во категорија 4</w:t>
      </w:r>
      <w:r w:rsidR="00224F0B" w:rsidRPr="00F70416">
        <w:rPr>
          <w:color w:val="000000" w:themeColor="text1"/>
          <w:lang w:val="mk-MK"/>
        </w:rPr>
        <w:t>.</w:t>
      </w:r>
      <w:r>
        <w:rPr>
          <w:color w:val="000000" w:themeColor="text1"/>
          <w:lang w:val="mk-MK"/>
        </w:rPr>
        <w:t xml:space="preserve"> </w:t>
      </w:r>
      <w:r w:rsidR="00224F0B" w:rsidRPr="00F70416">
        <w:rPr>
          <w:color w:val="000000" w:themeColor="text1"/>
          <w:lang w:val="mk-MK"/>
        </w:rPr>
        <w:t>Во износот предвиден за хонорари, треба да се вклучени нето сумата и персоналниот данок.</w:t>
      </w:r>
    </w:p>
    <w:p w14:paraId="286940FE" w14:textId="285B4984" w:rsidR="00F10EC2" w:rsidRPr="00F10EC2" w:rsidRDefault="00F10EC2" w:rsidP="00F10EC2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 w:rsidRPr="00224F0B">
        <w:rPr>
          <w:rFonts w:cstheme="minorHAnsi"/>
          <w:lang w:val="mk-MK"/>
        </w:rPr>
        <w:t>трошоци за изнајмување опрема и набавки за п</w:t>
      </w:r>
      <w:r>
        <w:rPr>
          <w:rFonts w:cstheme="minorHAnsi"/>
          <w:lang w:val="mk-MK"/>
        </w:rPr>
        <w:t>роектните активности;</w:t>
      </w:r>
    </w:p>
    <w:p w14:paraId="29DBE9DB" w14:textId="5D147B42" w:rsidR="00F10EC2" w:rsidRPr="00F10EC2" w:rsidRDefault="00F10EC2" w:rsidP="00F10EC2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>
        <w:rPr>
          <w:rFonts w:cstheme="minorHAnsi"/>
          <w:lang w:val="mk-MK"/>
        </w:rPr>
        <w:t>ИТ услуги,</w:t>
      </w:r>
    </w:p>
    <w:p w14:paraId="4C66BF23" w14:textId="09AD77F4" w:rsidR="00F10EC2" w:rsidRPr="00FF28DD" w:rsidRDefault="00F10EC2" w:rsidP="00F10EC2">
      <w:pPr>
        <w:pStyle w:val="ListParagraph"/>
        <w:numPr>
          <w:ilvl w:val="0"/>
          <w:numId w:val="22"/>
        </w:numPr>
        <w:spacing w:before="120" w:after="240" w:line="240" w:lineRule="auto"/>
        <w:jc w:val="both"/>
        <w:rPr>
          <w:color w:val="000000" w:themeColor="text1"/>
          <w:lang w:val="mk-MK"/>
        </w:rPr>
      </w:pPr>
      <w:r>
        <w:rPr>
          <w:rFonts w:cstheme="minorHAnsi"/>
          <w:lang w:val="mk-MK"/>
        </w:rPr>
        <w:t>Сите останати трошоци кои се директно поврзани со проектните активности, а не спаѓаат во категорија 3.</w:t>
      </w:r>
    </w:p>
    <w:p w14:paraId="5496F246" w14:textId="77777777" w:rsidR="000060FB" w:rsidRPr="00CF452A" w:rsidRDefault="000060FB" w:rsidP="000060FB">
      <w:pPr>
        <w:pStyle w:val="ListParagraph"/>
        <w:jc w:val="both"/>
        <w:rPr>
          <w:rFonts w:cstheme="minorHAnsi"/>
          <w:lang w:val="mk-MK"/>
        </w:rPr>
      </w:pPr>
    </w:p>
    <w:p w14:paraId="3DD95101" w14:textId="3B29D724" w:rsidR="000060FB" w:rsidRPr="00F10EC2" w:rsidRDefault="00FF28DD" w:rsidP="00F10EC2">
      <w:pPr>
        <w:jc w:val="both"/>
        <w:rPr>
          <w:rFonts w:cstheme="minorHAnsi"/>
          <w:lang w:val="mk-MK"/>
        </w:rPr>
      </w:pPr>
      <w:r w:rsidRPr="00F10EC2">
        <w:rPr>
          <w:rFonts w:cstheme="minorHAnsi"/>
          <w:b/>
          <w:lang w:val="mk-MK"/>
        </w:rPr>
        <w:t>Важна забелешка:</w:t>
      </w:r>
      <w:r w:rsidRPr="00F10EC2">
        <w:rPr>
          <w:rFonts w:cstheme="minorHAnsi"/>
          <w:lang w:val="mk-MK"/>
        </w:rPr>
        <w:t xml:space="preserve"> </w:t>
      </w:r>
      <w:r w:rsidR="000060FB" w:rsidRPr="00F10EC2">
        <w:rPr>
          <w:rFonts w:cstheme="minorHAnsi"/>
          <w:lang w:val="mk-MK"/>
        </w:rPr>
        <w:t>Набавка (купување) на опрема е неприфатлив трошок.</w:t>
      </w:r>
    </w:p>
    <w:p w14:paraId="55056A94" w14:textId="53B7F096" w:rsidR="000060FB" w:rsidRDefault="000060FB" w:rsidP="000060FB">
      <w:pPr>
        <w:jc w:val="both"/>
        <w:rPr>
          <w:rFonts w:cstheme="minorHAnsi"/>
          <w:lang w:val="mk-MK"/>
        </w:rPr>
      </w:pPr>
      <w:r w:rsidRPr="007852B4">
        <w:rPr>
          <w:rFonts w:cstheme="minorHAnsi"/>
          <w:b/>
          <w:lang w:val="mk-MK"/>
        </w:rPr>
        <w:t>Индиректни трошоци</w:t>
      </w:r>
      <w:r w:rsidRPr="00D9204E">
        <w:rPr>
          <w:rFonts w:cstheme="minorHAnsi"/>
          <w:lang w:val="mk-MK"/>
        </w:rPr>
        <w:t xml:space="preserve"> </w:t>
      </w:r>
      <w:r w:rsidR="00FF28DD">
        <w:rPr>
          <w:rFonts w:cstheme="minorHAnsi"/>
          <w:lang w:val="mk-MK"/>
        </w:rPr>
        <w:t xml:space="preserve">(административните трошоци) се трошоци кои настануваат од секојдневното работење на организацијата и не се директно поврзани со проектните активности </w:t>
      </w:r>
      <w:r w:rsidRPr="00D9204E">
        <w:rPr>
          <w:rFonts w:cstheme="minorHAnsi"/>
          <w:lang w:val="mk-MK"/>
        </w:rPr>
        <w:t>(на пример</w:t>
      </w:r>
      <w:r w:rsidR="00FF28DD">
        <w:rPr>
          <w:rFonts w:cstheme="minorHAnsi"/>
          <w:lang w:val="mk-MK"/>
        </w:rPr>
        <w:t xml:space="preserve">: </w:t>
      </w:r>
      <w:r w:rsidRPr="00D9204E">
        <w:rPr>
          <w:rFonts w:cstheme="minorHAnsi"/>
          <w:lang w:val="mk-MK"/>
        </w:rPr>
        <w:t>изнајмување/користење на работен простор,</w:t>
      </w:r>
      <w:r w:rsidR="00FF28DD">
        <w:rPr>
          <w:rFonts w:cstheme="minorHAnsi"/>
          <w:lang w:val="mk-MK"/>
        </w:rPr>
        <w:t xml:space="preserve"> (</w:t>
      </w:r>
      <w:r w:rsidR="00FF28DD" w:rsidRPr="00F10EC2">
        <w:rPr>
          <w:rFonts w:cstheme="minorHAnsi"/>
          <w:b/>
          <w:bCs/>
          <w:lang w:val="mk-MK"/>
        </w:rPr>
        <w:t>овие трошоци ќе бидат прифатени доколку организацијата има реални трошоци за канцеларија</w:t>
      </w:r>
      <w:r w:rsidR="00FF28DD">
        <w:rPr>
          <w:rFonts w:cstheme="minorHAnsi"/>
          <w:lang w:val="mk-MK"/>
        </w:rPr>
        <w:t xml:space="preserve">), </w:t>
      </w:r>
      <w:r w:rsidRPr="00D9204E">
        <w:rPr>
          <w:rFonts w:cstheme="minorHAnsi"/>
          <w:lang w:val="mk-MK"/>
        </w:rPr>
        <w:t xml:space="preserve">банковни </w:t>
      </w:r>
      <w:r w:rsidR="00F10EC2">
        <w:rPr>
          <w:rFonts w:cstheme="minorHAnsi"/>
          <w:lang w:val="mk-MK"/>
        </w:rPr>
        <w:t xml:space="preserve">провизии, трошоци за </w:t>
      </w:r>
      <w:r w:rsidRPr="00D9204E">
        <w:rPr>
          <w:rFonts w:cstheme="minorHAnsi"/>
          <w:lang w:val="mk-MK"/>
        </w:rPr>
        <w:t>сметководств</w:t>
      </w:r>
      <w:r w:rsidR="00F10EC2">
        <w:rPr>
          <w:rFonts w:cstheme="minorHAnsi"/>
          <w:lang w:val="mk-MK"/>
        </w:rPr>
        <w:t>о</w:t>
      </w:r>
      <w:r w:rsidRPr="00D9204E">
        <w:rPr>
          <w:rFonts w:cstheme="minorHAnsi"/>
          <w:lang w:val="mk-MK"/>
        </w:rPr>
        <w:t>, трошоци за телефон/интернет</w:t>
      </w:r>
      <w:r w:rsidR="00F70416">
        <w:rPr>
          <w:rFonts w:cstheme="minorHAnsi"/>
          <w:lang w:val="mk-MK"/>
        </w:rPr>
        <w:t>, канцелариска опрема</w:t>
      </w:r>
      <w:r w:rsidRPr="00D9204E">
        <w:rPr>
          <w:rFonts w:cstheme="minorHAnsi"/>
          <w:lang w:val="mk-MK"/>
        </w:rPr>
        <w:t xml:space="preserve"> и сл.)</w:t>
      </w:r>
      <w:r w:rsidR="00F70416">
        <w:rPr>
          <w:rFonts w:cstheme="minorHAnsi"/>
          <w:lang w:val="mk-MK"/>
        </w:rPr>
        <w:t>. Износот</w:t>
      </w:r>
      <w:r w:rsidRPr="00D9204E">
        <w:rPr>
          <w:rFonts w:cstheme="minorHAnsi"/>
          <w:lang w:val="mk-MK"/>
        </w:rPr>
        <w:t xml:space="preserve"> на овие административни трошоци не смее да надминува </w:t>
      </w:r>
      <w:r w:rsidR="00FF28DD">
        <w:rPr>
          <w:rFonts w:cstheme="minorHAnsi"/>
          <w:lang w:val="mk-MK"/>
        </w:rPr>
        <w:t xml:space="preserve">повеќе од </w:t>
      </w:r>
      <w:r w:rsidRPr="00D9204E">
        <w:rPr>
          <w:rFonts w:cstheme="minorHAnsi"/>
          <w:lang w:val="mk-MK"/>
        </w:rPr>
        <w:t xml:space="preserve">7% од вкупните директни трошоци. </w:t>
      </w:r>
      <w:r w:rsidR="00F70416">
        <w:rPr>
          <w:rFonts w:cstheme="minorHAnsi"/>
          <w:lang w:val="mk-MK"/>
        </w:rPr>
        <w:t>О</w:t>
      </w:r>
      <w:r w:rsidRPr="00D9204E">
        <w:rPr>
          <w:rFonts w:cstheme="minorHAnsi"/>
          <w:lang w:val="mk-MK"/>
        </w:rPr>
        <w:t>вие индиректни трошоци не треба да бидат детално буџетирани</w:t>
      </w:r>
      <w:r w:rsidR="00F70416">
        <w:rPr>
          <w:rFonts w:cstheme="minorHAnsi"/>
          <w:lang w:val="mk-MK"/>
        </w:rPr>
        <w:t xml:space="preserve"> туку како една вкупна сума</w:t>
      </w:r>
      <w:r w:rsidRPr="00D9204E">
        <w:rPr>
          <w:rFonts w:cstheme="minorHAnsi"/>
          <w:lang w:val="mk-MK"/>
        </w:rPr>
        <w:t>. Бидејќи се тоа трошоци поврзани со работењето на организацијата тие мора да бидат заведени во книгите на организацијата, според генералните правила на сметководство и архивирање.</w:t>
      </w:r>
    </w:p>
    <w:p w14:paraId="52958947" w14:textId="6C626788" w:rsidR="00F10EC2" w:rsidRPr="00D9204E" w:rsidRDefault="00F10EC2" w:rsidP="000060FB">
      <w:pPr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Вкупниот износ на директни и индиректни трошоци не треба да надмине 5000 евра во денарска противредност.</w:t>
      </w:r>
    </w:p>
    <w:p w14:paraId="7865948F" w14:textId="77777777" w:rsidR="0081434E" w:rsidRDefault="000060FB" w:rsidP="0081434E">
      <w:pPr>
        <w:pStyle w:val="ListParagraph"/>
        <w:spacing w:before="120" w:after="240" w:line="240" w:lineRule="auto"/>
        <w:ind w:left="0"/>
        <w:jc w:val="both"/>
        <w:rPr>
          <w:rFonts w:cstheme="minorHAnsi"/>
          <w:lang w:val="mk-MK"/>
        </w:rPr>
      </w:pPr>
      <w:r w:rsidRPr="00FF28DD">
        <w:rPr>
          <w:rFonts w:cstheme="minorHAnsi"/>
          <w:b/>
          <w:lang w:val="mk-MK"/>
        </w:rPr>
        <w:t>Важна забелешка</w:t>
      </w:r>
      <w:r w:rsidRPr="00D9204E">
        <w:rPr>
          <w:rFonts w:cstheme="minorHAnsi"/>
          <w:lang w:val="mk-MK"/>
        </w:rPr>
        <w:t>: ДДВ не e прифатлив трошок во овој проект.</w:t>
      </w:r>
      <w:r w:rsidR="0081434E">
        <w:rPr>
          <w:rFonts w:cstheme="minorHAnsi"/>
          <w:lang w:val="mk-MK"/>
        </w:rPr>
        <w:t xml:space="preserve"> </w:t>
      </w:r>
    </w:p>
    <w:p w14:paraId="62A20027" w14:textId="3A9CD66A" w:rsidR="0081434E" w:rsidRDefault="0081434E" w:rsidP="0081434E">
      <w:pPr>
        <w:pStyle w:val="ListParagraph"/>
        <w:spacing w:before="120" w:after="240" w:line="240" w:lineRule="auto"/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Сумите во сите буџетски линии треба да бидат искажани без износот за ДДВ</w:t>
      </w:r>
      <w:r w:rsidR="00F70416">
        <w:rPr>
          <w:rFonts w:cstheme="minorHAnsi"/>
          <w:lang w:val="mk-MK"/>
        </w:rPr>
        <w:t>. Т</w:t>
      </w:r>
      <w:r>
        <w:rPr>
          <w:rFonts w:cstheme="minorHAnsi"/>
          <w:lang w:val="mk-MK"/>
        </w:rPr>
        <w:t xml:space="preserve">оа значи износот на средства што ќе се побара, треба да биде без вклучен ДДВ и сите фактури доставени </w:t>
      </w:r>
      <w:r w:rsidR="00F70416">
        <w:rPr>
          <w:rFonts w:cstheme="minorHAnsi"/>
          <w:lang w:val="mk-MK"/>
        </w:rPr>
        <w:t>како доказ за настанат трошок</w:t>
      </w:r>
      <w:r>
        <w:rPr>
          <w:rFonts w:cstheme="minorHAnsi"/>
          <w:lang w:val="mk-MK"/>
        </w:rPr>
        <w:t xml:space="preserve"> мораат да бидат </w:t>
      </w:r>
      <w:r w:rsidR="00F70416">
        <w:rPr>
          <w:rFonts w:cstheme="minorHAnsi"/>
          <w:lang w:val="mk-MK"/>
        </w:rPr>
        <w:t xml:space="preserve">издадени </w:t>
      </w:r>
      <w:r>
        <w:rPr>
          <w:rFonts w:cstheme="minorHAnsi"/>
          <w:lang w:val="mk-MK"/>
        </w:rPr>
        <w:t>без ДДВ</w:t>
      </w:r>
      <w:r w:rsidR="00F70416">
        <w:rPr>
          <w:rFonts w:cstheme="minorHAnsi"/>
          <w:lang w:val="mk-MK"/>
        </w:rPr>
        <w:t>. Доколку организацијата исплати ДДВ во рамки на овој проект, трошокот за износот на ДДВ ќе го сноси сама.</w:t>
      </w:r>
    </w:p>
    <w:p w14:paraId="65E2F46B" w14:textId="77777777" w:rsidR="0081434E" w:rsidRDefault="0081434E" w:rsidP="0081434E">
      <w:pPr>
        <w:pStyle w:val="ListParagraph"/>
        <w:spacing w:before="120" w:after="240" w:line="240" w:lineRule="auto"/>
        <w:ind w:left="0"/>
        <w:jc w:val="both"/>
        <w:rPr>
          <w:rFonts w:cstheme="minorHAnsi"/>
          <w:lang w:val="mk-MK"/>
        </w:rPr>
      </w:pPr>
    </w:p>
    <w:p w14:paraId="4EC7A91A" w14:textId="46FB8B96" w:rsidR="0081434E" w:rsidRDefault="0081434E" w:rsidP="0081434E">
      <w:pPr>
        <w:pStyle w:val="ListParagraph"/>
        <w:spacing w:before="120" w:after="240" w:line="240" w:lineRule="auto"/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При подготовка на буџетот мора да се следи правилото на непрофитност и избегнување на двојно финансирање.</w:t>
      </w:r>
    </w:p>
    <w:p w14:paraId="088B1967" w14:textId="60D33D25" w:rsidR="0081434E" w:rsidRPr="0081434E" w:rsidRDefault="0081434E" w:rsidP="0081434E">
      <w:pPr>
        <w:rPr>
          <w:b/>
          <w:lang w:val="mk-MK" w:eastAsia="en-GB"/>
        </w:rPr>
      </w:pPr>
      <w:r w:rsidRPr="0081434E">
        <w:rPr>
          <w:b/>
          <w:u w:val="single"/>
          <w:lang w:val="mk-MK" w:eastAsia="en-GB"/>
        </w:rPr>
        <w:t>Неприфатливи трошоци во буџетот се</w:t>
      </w:r>
      <w:r w:rsidRPr="0081434E">
        <w:rPr>
          <w:b/>
          <w:lang w:val="mk-MK" w:eastAsia="en-GB"/>
        </w:rPr>
        <w:t>:</w:t>
      </w:r>
    </w:p>
    <w:p w14:paraId="2E5E8688" w14:textId="77777777" w:rsidR="0081434E" w:rsidRPr="007A568E" w:rsidRDefault="0081434E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  <w:r w:rsidRPr="007A568E">
        <w:rPr>
          <w:lang w:val="mk-MK" w:eastAsia="en-GB"/>
        </w:rPr>
        <w:t>Долгови и трошоци кои произлегуваат од долг (камата);</w:t>
      </w:r>
    </w:p>
    <w:p w14:paraId="7B5BC9FF" w14:textId="54F16268" w:rsidR="0081434E" w:rsidRPr="00A25EC3" w:rsidRDefault="0081434E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  <w:r w:rsidRPr="007A568E">
        <w:rPr>
          <w:lang w:val="mk-MK" w:eastAsia="en-GB"/>
        </w:rPr>
        <w:t>Трошоци пријавени од страна на корисникот(</w:t>
      </w:r>
      <w:r>
        <w:rPr>
          <w:lang w:val="mk-MK" w:eastAsia="en-GB"/>
        </w:rPr>
        <w:t>ц</w:t>
      </w:r>
      <w:r w:rsidRPr="007A568E">
        <w:rPr>
          <w:lang w:val="mk-MK" w:eastAsia="en-GB"/>
        </w:rPr>
        <w:t xml:space="preserve">ите), а </w:t>
      </w:r>
      <w:r w:rsidRPr="00A25EC3">
        <w:rPr>
          <w:lang w:val="mk-MK" w:eastAsia="en-GB"/>
        </w:rPr>
        <w:t>финансирани од друг проект или работна програма која добива грант од Евро</w:t>
      </w:r>
      <w:r>
        <w:rPr>
          <w:lang w:val="mk-MK" w:eastAsia="en-GB"/>
        </w:rPr>
        <w:t xml:space="preserve">пската Унија </w:t>
      </w:r>
      <w:r w:rsidRPr="00A25EC3">
        <w:rPr>
          <w:lang w:val="mk-MK" w:eastAsia="en-GB"/>
        </w:rPr>
        <w:t>или друг грант од донатор;</w:t>
      </w:r>
    </w:p>
    <w:p w14:paraId="6B9738F0" w14:textId="7781AA83" w:rsidR="0081434E" w:rsidRPr="0081434E" w:rsidRDefault="0081434E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  <w:r w:rsidRPr="00A25EC3">
        <w:rPr>
          <w:lang w:val="mk-MK" w:eastAsia="en-GB"/>
        </w:rPr>
        <w:t xml:space="preserve">Загуби </w:t>
      </w:r>
      <w:r>
        <w:rPr>
          <w:lang w:val="mk-MK" w:eastAsia="en-GB"/>
        </w:rPr>
        <w:t>од курсни разлики;</w:t>
      </w:r>
    </w:p>
    <w:p w14:paraId="364DAADD" w14:textId="606E7265" w:rsidR="0081434E" w:rsidRDefault="0081434E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  <w:r>
        <w:rPr>
          <w:lang w:val="mk-MK" w:eastAsia="en-GB"/>
        </w:rPr>
        <w:t>Набавка на недвижен имот;</w:t>
      </w:r>
    </w:p>
    <w:p w14:paraId="082773CC" w14:textId="42160B94" w:rsidR="00F10EC2" w:rsidRDefault="00F10EC2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  <w:r>
        <w:rPr>
          <w:lang w:val="mk-MK" w:eastAsia="en-GB"/>
        </w:rPr>
        <w:t>Набавка на опрема</w:t>
      </w:r>
      <w:r>
        <w:rPr>
          <w:lang w:eastAsia="en-GB"/>
        </w:rPr>
        <w:t>;</w:t>
      </w:r>
    </w:p>
    <w:p w14:paraId="42A393E9" w14:textId="24E6BCC6" w:rsidR="00F70416" w:rsidRPr="007663E3" w:rsidRDefault="00F70416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  <w:r>
        <w:rPr>
          <w:lang w:val="mk-MK" w:eastAsia="en-GB"/>
        </w:rPr>
        <w:t>Трошоци за штети и поправки</w:t>
      </w:r>
      <w:r w:rsidR="00F10EC2">
        <w:rPr>
          <w:lang w:eastAsia="en-GB"/>
        </w:rPr>
        <w:t>;</w:t>
      </w:r>
    </w:p>
    <w:p w14:paraId="42E4B60C" w14:textId="77777777" w:rsidR="007663E3" w:rsidRDefault="007663E3" w:rsidP="0081434E">
      <w:pPr>
        <w:pStyle w:val="ListParagraph"/>
        <w:numPr>
          <w:ilvl w:val="0"/>
          <w:numId w:val="20"/>
        </w:numPr>
        <w:spacing w:before="120" w:after="240" w:line="240" w:lineRule="auto"/>
        <w:jc w:val="both"/>
        <w:rPr>
          <w:lang w:val="mk-MK" w:eastAsia="en-GB"/>
        </w:rPr>
      </w:pPr>
    </w:p>
    <w:p w14:paraId="1AD6B1D3" w14:textId="41278B55" w:rsidR="00D57243" w:rsidRPr="00DE05DC" w:rsidRDefault="0081434E" w:rsidP="00231CD9">
      <w:pPr>
        <w:spacing w:before="120" w:after="240" w:line="240" w:lineRule="auto"/>
        <w:jc w:val="both"/>
      </w:pPr>
      <w:r>
        <w:rPr>
          <w:lang w:val="mk-MK" w:eastAsia="en-GB"/>
        </w:rPr>
        <w:t>Апликантот е одговорен за точноста на податоците наведени во Буџетот.</w:t>
      </w:r>
    </w:p>
    <w:sectPr w:rsidR="00D57243" w:rsidRPr="00DE05DC" w:rsidSect="00C96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6C6E" w14:textId="77777777" w:rsidR="005731F6" w:rsidRDefault="005731F6" w:rsidP="00AE54B6">
      <w:pPr>
        <w:spacing w:after="0" w:line="240" w:lineRule="auto"/>
      </w:pPr>
      <w:r>
        <w:separator/>
      </w:r>
    </w:p>
  </w:endnote>
  <w:endnote w:type="continuationSeparator" w:id="0">
    <w:p w14:paraId="11A8AD82" w14:textId="77777777" w:rsidR="005731F6" w:rsidRDefault="005731F6" w:rsidP="00A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E729" w14:textId="77777777" w:rsidR="00E37038" w:rsidRDefault="00E3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DD2116" w14:paraId="3F45FC0E" w14:textId="77777777" w:rsidTr="00223493">
      <w:trPr>
        <w:trHeight w:val="368"/>
      </w:trPr>
      <w:tc>
        <w:tcPr>
          <w:tcW w:w="236" w:type="dxa"/>
        </w:tcPr>
        <w:p w14:paraId="7CD711F1" w14:textId="77777777" w:rsidR="00DD2116" w:rsidRDefault="00DD2116">
          <w:pPr>
            <w:pStyle w:val="Footer"/>
          </w:pPr>
        </w:p>
      </w:tc>
      <w:tc>
        <w:tcPr>
          <w:tcW w:w="7125" w:type="dxa"/>
        </w:tcPr>
        <w:p w14:paraId="61D83A6B" w14:textId="6CC4421A" w:rsidR="00DD2116" w:rsidRPr="008A201F" w:rsidRDefault="00567DCA" w:rsidP="000B557D">
          <w:pPr>
            <w:jc w:val="both"/>
            <w:rPr>
              <w:rFonts w:cstheme="minorHAnsi"/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val="mk-MK"/>
            </w:rPr>
            <w:t xml:space="preserve">Оваа содржина е подготвена во рамки на </w:t>
          </w:r>
          <w:r>
            <w:rPr>
              <w:i/>
              <w:noProof/>
              <w:sz w:val="20"/>
              <w:szCs w:val="20"/>
            </w:rPr>
            <w:t>п</w:t>
          </w:r>
          <w:r w:rsidR="007D0AD6" w:rsidRPr="008A201F">
            <w:rPr>
              <w:i/>
              <w:noProof/>
              <w:sz w:val="20"/>
              <w:szCs w:val="20"/>
            </w:rPr>
            <w:t>роектот</w:t>
          </w:r>
          <w:r w:rsidR="00295DB9" w:rsidRPr="008A201F">
            <w:rPr>
              <w:i/>
              <w:noProof/>
              <w:sz w:val="20"/>
              <w:szCs w:val="20"/>
            </w:rPr>
            <w:t>:</w:t>
          </w:r>
          <w:r w:rsidR="007D0AD6" w:rsidRPr="008A201F">
            <w:rPr>
              <w:i/>
              <w:noProof/>
              <w:sz w:val="20"/>
              <w:szCs w:val="20"/>
            </w:rPr>
            <w:t xml:space="preserve"> „Локална акција за подобри политики за заштита на животната средина“ </w:t>
          </w:r>
          <w:r>
            <w:rPr>
              <w:i/>
              <w:noProof/>
              <w:sz w:val="20"/>
              <w:szCs w:val="20"/>
              <w:lang w:val="mk-MK"/>
            </w:rPr>
            <w:t xml:space="preserve">а </w:t>
          </w:r>
          <w:r w:rsidR="000B557D" w:rsidRPr="008A201F">
            <w:rPr>
              <w:i/>
              <w:noProof/>
              <w:sz w:val="20"/>
              <w:szCs w:val="20"/>
            </w:rPr>
            <w:t>го реализ</w:t>
          </w:r>
          <w:r w:rsidR="00231CD9">
            <w:rPr>
              <w:i/>
              <w:noProof/>
              <w:sz w:val="20"/>
              <w:szCs w:val="20"/>
              <w:lang w:val="mk-MK"/>
            </w:rPr>
            <w:t>и</w:t>
          </w:r>
          <w:r w:rsidR="000B557D" w:rsidRPr="008A201F">
            <w:rPr>
              <w:i/>
              <w:noProof/>
              <w:sz w:val="20"/>
              <w:szCs w:val="20"/>
            </w:rPr>
            <w:t xml:space="preserve">ра </w:t>
          </w:r>
          <w:proofErr w:type="spellStart"/>
          <w:r w:rsidR="00DD2116" w:rsidRPr="008A201F">
            <w:rPr>
              <w:rFonts w:cstheme="minorHAnsi"/>
              <w:i/>
              <w:sz w:val="20"/>
              <w:szCs w:val="20"/>
            </w:rPr>
            <w:t>Институтот</w:t>
          </w:r>
          <w:proofErr w:type="spellEnd"/>
          <w:r w:rsidR="00DD2116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DD2116" w:rsidRPr="008A201F">
            <w:rPr>
              <w:rFonts w:cstheme="minorHAnsi"/>
              <w:i/>
              <w:sz w:val="20"/>
              <w:szCs w:val="20"/>
            </w:rPr>
            <w:t>за</w:t>
          </w:r>
          <w:proofErr w:type="spellEnd"/>
          <w:r w:rsidR="00DD2116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DD2116" w:rsidRPr="008A201F">
            <w:rPr>
              <w:rFonts w:cstheme="minorHAnsi"/>
              <w:i/>
              <w:sz w:val="20"/>
              <w:szCs w:val="20"/>
            </w:rPr>
            <w:t>комуникациски</w:t>
          </w:r>
          <w:proofErr w:type="spellEnd"/>
          <w:r w:rsidR="00DD2116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DD2116" w:rsidRPr="008A201F">
            <w:rPr>
              <w:rFonts w:cstheme="minorHAnsi"/>
              <w:i/>
              <w:sz w:val="20"/>
              <w:szCs w:val="20"/>
            </w:rPr>
            <w:t>студии</w:t>
          </w:r>
          <w:proofErr w:type="spellEnd"/>
          <w:r w:rsidR="007D0AD6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0B557D" w:rsidRPr="008A201F">
            <w:rPr>
              <w:rFonts w:cstheme="minorHAnsi"/>
              <w:i/>
              <w:sz w:val="20"/>
              <w:szCs w:val="20"/>
            </w:rPr>
            <w:t>во</w:t>
          </w:r>
          <w:proofErr w:type="spellEnd"/>
          <w:r w:rsidR="000B557D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0B557D" w:rsidRPr="008A201F">
            <w:rPr>
              <w:rFonts w:cstheme="minorHAnsi"/>
              <w:i/>
              <w:sz w:val="20"/>
              <w:szCs w:val="20"/>
            </w:rPr>
            <w:t>партнерство</w:t>
          </w:r>
          <w:proofErr w:type="spellEnd"/>
          <w:r w:rsidR="000B557D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0B557D" w:rsidRPr="008A201F">
            <w:rPr>
              <w:rFonts w:cstheme="minorHAnsi"/>
              <w:i/>
              <w:sz w:val="20"/>
              <w:szCs w:val="20"/>
            </w:rPr>
            <w:t>со</w:t>
          </w:r>
          <w:proofErr w:type="spellEnd"/>
          <w:r w:rsidR="000B557D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7D0AD6" w:rsidRPr="008A201F">
            <w:rPr>
              <w:rFonts w:cstheme="minorHAnsi"/>
              <w:i/>
              <w:sz w:val="20"/>
              <w:szCs w:val="20"/>
            </w:rPr>
            <w:t>Македонско</w:t>
          </w:r>
          <w:proofErr w:type="spellEnd"/>
          <w:r w:rsidR="007D0AD6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7D0AD6" w:rsidRPr="008A201F">
            <w:rPr>
              <w:rFonts w:cstheme="minorHAnsi"/>
              <w:i/>
              <w:sz w:val="20"/>
              <w:szCs w:val="20"/>
            </w:rPr>
            <w:t>еколошко</w:t>
          </w:r>
          <w:proofErr w:type="spellEnd"/>
          <w:r w:rsidR="007D0AD6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7D0AD6" w:rsidRPr="008A201F">
            <w:rPr>
              <w:rFonts w:cstheme="minorHAnsi"/>
              <w:i/>
              <w:sz w:val="20"/>
              <w:szCs w:val="20"/>
            </w:rPr>
            <w:t>друштво</w:t>
          </w:r>
          <w:proofErr w:type="spellEnd"/>
          <w:r w:rsidR="000B557D" w:rsidRPr="008A201F">
            <w:rPr>
              <w:rFonts w:cstheme="minorHAnsi"/>
              <w:i/>
              <w:sz w:val="20"/>
              <w:szCs w:val="20"/>
            </w:rPr>
            <w:t>,</w:t>
          </w:r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со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финансиска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поддршка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на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Европскиот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инструмент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за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демократија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и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човекови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</w:t>
          </w:r>
          <w:proofErr w:type="spellStart"/>
          <w:r w:rsidR="00295DB9" w:rsidRPr="008A201F">
            <w:rPr>
              <w:rFonts w:cstheme="minorHAnsi"/>
              <w:i/>
              <w:sz w:val="20"/>
              <w:szCs w:val="20"/>
            </w:rPr>
            <w:t>права</w:t>
          </w:r>
          <w:proofErr w:type="spellEnd"/>
          <w:r w:rsidR="00295DB9" w:rsidRPr="008A201F">
            <w:rPr>
              <w:rFonts w:cstheme="minorHAnsi"/>
              <w:i/>
              <w:sz w:val="20"/>
              <w:szCs w:val="20"/>
            </w:rPr>
            <w:t xml:space="preserve"> (ЕИДХР).</w:t>
          </w:r>
          <w:r w:rsidR="00C470E2">
            <w:rPr>
              <w:rFonts w:cstheme="minorHAnsi"/>
              <w:i/>
              <w:sz w:val="20"/>
              <w:szCs w:val="20"/>
              <w:lang w:val="mk-MK"/>
            </w:rPr>
            <w:t xml:space="preserve">                              </w:t>
          </w:r>
          <w:r w:rsidR="00C470E2" w:rsidRPr="00C470E2">
            <w:rPr>
              <w:noProof/>
            </w:rPr>
            <w:t xml:space="preserve"> </w:t>
          </w:r>
          <w:r w:rsidR="00C470E2">
            <w:rPr>
              <w:noProof/>
              <w:lang w:val="mk-MK"/>
            </w:rPr>
            <w:t xml:space="preserve">     </w:t>
          </w:r>
        </w:p>
      </w:tc>
    </w:tr>
  </w:tbl>
  <w:p w14:paraId="7AE36F1D" w14:textId="68F200D6" w:rsidR="00DD2116" w:rsidRPr="00C470E2" w:rsidRDefault="00223493" w:rsidP="00C470E2">
    <w:pPr>
      <w:pStyle w:val="Footer"/>
      <w:rPr>
        <w:lang w:val="mk-MK"/>
      </w:rPr>
    </w:pPr>
    <w:r w:rsidRPr="00C470E2">
      <w:rPr>
        <w:noProof/>
      </w:rPr>
      <w:drawing>
        <wp:anchor distT="0" distB="0" distL="114300" distR="114300" simplePos="0" relativeHeight="251670528" behindDoc="0" locked="0" layoutInCell="1" allowOverlap="1" wp14:anchorId="68867939" wp14:editId="011957A7">
          <wp:simplePos x="0" y="0"/>
          <wp:positionH relativeFrom="column">
            <wp:posOffset>4417488</wp:posOffset>
          </wp:positionH>
          <wp:positionV relativeFrom="paragraph">
            <wp:posOffset>-671438</wp:posOffset>
          </wp:positionV>
          <wp:extent cx="1017270" cy="762000"/>
          <wp:effectExtent l="0" t="0" r="0" b="0"/>
          <wp:wrapNone/>
          <wp:docPr id="3" name="Picture 3" descr="C:\Users\lsaba\Desktop\SHAPE\Logoa EU za tebe\Нови логоа\EUsoTEB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ba\Desktop\SHAPE\Logoa EU za tebe\Нови логоа\EUsoTEB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1E6E" w14:textId="77777777" w:rsidR="00E37038" w:rsidRDefault="00E3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94004" w14:textId="77777777" w:rsidR="005731F6" w:rsidRDefault="005731F6" w:rsidP="00AE54B6">
      <w:pPr>
        <w:spacing w:after="0" w:line="240" w:lineRule="auto"/>
      </w:pPr>
      <w:r>
        <w:separator/>
      </w:r>
    </w:p>
  </w:footnote>
  <w:footnote w:type="continuationSeparator" w:id="0">
    <w:p w14:paraId="14EF31F8" w14:textId="77777777" w:rsidR="005731F6" w:rsidRDefault="005731F6" w:rsidP="00A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335B" w14:textId="77777777" w:rsidR="00E37038" w:rsidRDefault="00E3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15ACECBE" w:rsidR="001B2EF9" w:rsidRDefault="001B2EF9" w:rsidP="001B2EF9">
    <w:pPr>
      <w:pStyle w:val="Header"/>
      <w:tabs>
        <w:tab w:val="clear" w:pos="4680"/>
        <w:tab w:val="left" w:pos="70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6A0C17F" wp14:editId="5B02CE30">
          <wp:simplePos x="0" y="0"/>
          <wp:positionH relativeFrom="column">
            <wp:posOffset>1428750</wp:posOffset>
          </wp:positionH>
          <wp:positionV relativeFrom="paragraph">
            <wp:posOffset>72390</wp:posOffset>
          </wp:positionV>
          <wp:extent cx="2590800" cy="366395"/>
          <wp:effectExtent l="0" t="0" r="0" b="0"/>
          <wp:wrapNone/>
          <wp:docPr id="7" name="Picture 7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02C18FB" wp14:editId="56B312A5">
          <wp:simplePos x="0" y="0"/>
          <wp:positionH relativeFrom="column">
            <wp:posOffset>4414520</wp:posOffset>
          </wp:positionH>
          <wp:positionV relativeFrom="paragraph">
            <wp:posOffset>-116205</wp:posOffset>
          </wp:positionV>
          <wp:extent cx="1446530" cy="747395"/>
          <wp:effectExtent l="0" t="0" r="1270" b="0"/>
          <wp:wrapNone/>
          <wp:docPr id="6" name="Picture 6" descr="thumbnail_MES logo-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MES logo-72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C701C5" wp14:editId="44155EED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0F9BA" w14:textId="77777777" w:rsidR="001B2EF9" w:rsidRDefault="001B2EF9" w:rsidP="001B2EF9">
    <w:pPr>
      <w:pStyle w:val="Header"/>
      <w:tabs>
        <w:tab w:val="clear" w:pos="4680"/>
        <w:tab w:val="left" w:pos="7005"/>
      </w:tabs>
      <w:rPr>
        <w:noProof/>
      </w:rPr>
    </w:pPr>
  </w:p>
  <w:p w14:paraId="15190A12" w14:textId="4B3AD596" w:rsidR="001B2EF9" w:rsidRDefault="001B2EF9" w:rsidP="001B2EF9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9B98F8" wp14:editId="6E624696">
              <wp:simplePos x="0" y="0"/>
              <wp:positionH relativeFrom="column">
                <wp:posOffset>-428625</wp:posOffset>
              </wp:positionH>
              <wp:positionV relativeFrom="paragraph">
                <wp:posOffset>186055</wp:posOffset>
              </wp:positionV>
              <wp:extent cx="1666875" cy="45974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810A0" w14:textId="2470E7DC" w:rsidR="001B2EF9" w:rsidRDefault="008A38B2" w:rsidP="001B2EF9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8A38B2"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75pt;margin-top:14.65pt;width:131.25pt;height:36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" filled="f" stroked="f">
              <v:textbox style="mso-fit-shape-to-text:t">
                <w:txbxContent>
                  <w:p w14:paraId="3B4810A0" w14:textId="2470E7DC" w:rsidR="001B2EF9" w:rsidRDefault="008A38B2" w:rsidP="001B2EF9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  <w:szCs w:val="16"/>
                      </w:rPr>
                    </w:pPr>
                    <w:r w:rsidRPr="008A38B2"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Проектот е финансиран од Европската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A42289" w14:textId="77777777" w:rsidR="001B2EF9" w:rsidRDefault="001B2EF9" w:rsidP="001B2EF9">
    <w:pPr>
      <w:pStyle w:val="Header"/>
      <w:tabs>
        <w:tab w:val="clear" w:pos="4680"/>
        <w:tab w:val="left" w:pos="7005"/>
      </w:tabs>
    </w:pPr>
    <w:r>
      <w:rPr>
        <w:noProof/>
      </w:rPr>
      <w:br/>
    </w:r>
  </w:p>
  <w:p w14:paraId="488C29F0" w14:textId="75397A5D" w:rsidR="00AE54B6" w:rsidRPr="001B2EF9" w:rsidRDefault="00AE54B6" w:rsidP="001B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EA6B" w14:textId="77777777" w:rsidR="00E37038" w:rsidRDefault="00E37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/>
      </w:rPr>
    </w:lvl>
  </w:abstractNum>
  <w:abstractNum w:abstractNumId="1" w15:restartNumberingAfterBreak="0">
    <w:nsid w:val="0F683B3E"/>
    <w:multiLevelType w:val="hybridMultilevel"/>
    <w:tmpl w:val="04685684"/>
    <w:lvl w:ilvl="0" w:tplc="0000000C"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25F7"/>
    <w:multiLevelType w:val="hybridMultilevel"/>
    <w:tmpl w:val="6B5AD83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A138AF"/>
    <w:multiLevelType w:val="hybridMultilevel"/>
    <w:tmpl w:val="AD9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62E"/>
    <w:multiLevelType w:val="hybridMultilevel"/>
    <w:tmpl w:val="6266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C38ED"/>
    <w:multiLevelType w:val="hybridMultilevel"/>
    <w:tmpl w:val="7EF626A8"/>
    <w:lvl w:ilvl="0" w:tplc="2C6A3E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4BD8"/>
    <w:multiLevelType w:val="hybridMultilevel"/>
    <w:tmpl w:val="DE98E658"/>
    <w:lvl w:ilvl="0" w:tplc="3BFE0B1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4439F7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5FE6"/>
    <w:multiLevelType w:val="hybridMultilevel"/>
    <w:tmpl w:val="A756339A"/>
    <w:lvl w:ilvl="0" w:tplc="0000000C">
      <w:numFmt w:val="bullet"/>
      <w:lvlText w:val="-"/>
      <w:lvlJc w:val="left"/>
      <w:pPr>
        <w:ind w:left="720" w:hanging="360"/>
      </w:pPr>
      <w:rPr>
        <w:rFonts w:ascii="Garamond" w:hAnsi="Garamon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F4E"/>
    <w:multiLevelType w:val="hybridMultilevel"/>
    <w:tmpl w:val="31F01D6C"/>
    <w:lvl w:ilvl="0" w:tplc="785249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8466D"/>
    <w:multiLevelType w:val="hybridMultilevel"/>
    <w:tmpl w:val="F9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49BB"/>
    <w:multiLevelType w:val="multilevel"/>
    <w:tmpl w:val="4A586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16" w15:restartNumberingAfterBreak="0">
    <w:nsid w:val="4D4C20F1"/>
    <w:multiLevelType w:val="multilevel"/>
    <w:tmpl w:val="D9261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17" w15:restartNumberingAfterBreak="0">
    <w:nsid w:val="51AC6D64"/>
    <w:multiLevelType w:val="multilevel"/>
    <w:tmpl w:val="D2F47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53644E7"/>
    <w:multiLevelType w:val="hybridMultilevel"/>
    <w:tmpl w:val="8814E7E4"/>
    <w:lvl w:ilvl="0" w:tplc="490A69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689F"/>
    <w:multiLevelType w:val="hybridMultilevel"/>
    <w:tmpl w:val="E704164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50540"/>
    <w:multiLevelType w:val="multilevel"/>
    <w:tmpl w:val="4A586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22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21"/>
  </w:num>
  <w:num w:numId="18">
    <w:abstractNumId w:val="15"/>
  </w:num>
  <w:num w:numId="19">
    <w:abstractNumId w:val="17"/>
  </w:num>
  <w:num w:numId="20">
    <w:abstractNumId w:val="19"/>
  </w:num>
  <w:num w:numId="21">
    <w:abstractNumId w:val="5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060FB"/>
    <w:rsid w:val="000776B2"/>
    <w:rsid w:val="000A53E1"/>
    <w:rsid w:val="000B557D"/>
    <w:rsid w:val="000C7BB0"/>
    <w:rsid w:val="000D3851"/>
    <w:rsid w:val="0013694D"/>
    <w:rsid w:val="00141EAC"/>
    <w:rsid w:val="00164033"/>
    <w:rsid w:val="0018096A"/>
    <w:rsid w:val="001A06BE"/>
    <w:rsid w:val="001B2EF9"/>
    <w:rsid w:val="001D2B62"/>
    <w:rsid w:val="001F3223"/>
    <w:rsid w:val="001F61C2"/>
    <w:rsid w:val="00223493"/>
    <w:rsid w:val="00224F0B"/>
    <w:rsid w:val="00231CD9"/>
    <w:rsid w:val="00237DE0"/>
    <w:rsid w:val="00240C0B"/>
    <w:rsid w:val="002859CC"/>
    <w:rsid w:val="00295DB9"/>
    <w:rsid w:val="002C1DD3"/>
    <w:rsid w:val="002C59E4"/>
    <w:rsid w:val="00324F12"/>
    <w:rsid w:val="0035009E"/>
    <w:rsid w:val="00352977"/>
    <w:rsid w:val="003534F7"/>
    <w:rsid w:val="00386E07"/>
    <w:rsid w:val="00395BD4"/>
    <w:rsid w:val="003A560B"/>
    <w:rsid w:val="003D4B75"/>
    <w:rsid w:val="003D741C"/>
    <w:rsid w:val="003F0CBE"/>
    <w:rsid w:val="004400C3"/>
    <w:rsid w:val="00454C19"/>
    <w:rsid w:val="0046236B"/>
    <w:rsid w:val="004808BE"/>
    <w:rsid w:val="004941D7"/>
    <w:rsid w:val="004A2867"/>
    <w:rsid w:val="004A58EA"/>
    <w:rsid w:val="004A7AE0"/>
    <w:rsid w:val="004B0342"/>
    <w:rsid w:val="004F29F6"/>
    <w:rsid w:val="00533930"/>
    <w:rsid w:val="00547EEC"/>
    <w:rsid w:val="00554E17"/>
    <w:rsid w:val="00567DCA"/>
    <w:rsid w:val="005731F6"/>
    <w:rsid w:val="0060542B"/>
    <w:rsid w:val="00616EB0"/>
    <w:rsid w:val="00624661"/>
    <w:rsid w:val="00627107"/>
    <w:rsid w:val="00642847"/>
    <w:rsid w:val="0064363A"/>
    <w:rsid w:val="00646364"/>
    <w:rsid w:val="00646386"/>
    <w:rsid w:val="00657406"/>
    <w:rsid w:val="0066779F"/>
    <w:rsid w:val="006B5A2C"/>
    <w:rsid w:val="0071593F"/>
    <w:rsid w:val="00747148"/>
    <w:rsid w:val="00760E5D"/>
    <w:rsid w:val="007663E3"/>
    <w:rsid w:val="007852B4"/>
    <w:rsid w:val="007D0AD6"/>
    <w:rsid w:val="0081434E"/>
    <w:rsid w:val="008510BD"/>
    <w:rsid w:val="008707A9"/>
    <w:rsid w:val="0087371A"/>
    <w:rsid w:val="008A201F"/>
    <w:rsid w:val="008A38B2"/>
    <w:rsid w:val="008D312C"/>
    <w:rsid w:val="0090687E"/>
    <w:rsid w:val="00931AF1"/>
    <w:rsid w:val="009709C4"/>
    <w:rsid w:val="00975846"/>
    <w:rsid w:val="009A08D5"/>
    <w:rsid w:val="009A4DDC"/>
    <w:rsid w:val="009C6EC6"/>
    <w:rsid w:val="009C742E"/>
    <w:rsid w:val="009E7D48"/>
    <w:rsid w:val="009F19B2"/>
    <w:rsid w:val="00A51159"/>
    <w:rsid w:val="00A52DF0"/>
    <w:rsid w:val="00A5385D"/>
    <w:rsid w:val="00A834D1"/>
    <w:rsid w:val="00AA2D67"/>
    <w:rsid w:val="00AE54B6"/>
    <w:rsid w:val="00AE5B6F"/>
    <w:rsid w:val="00AF5AA8"/>
    <w:rsid w:val="00B03380"/>
    <w:rsid w:val="00B73FE8"/>
    <w:rsid w:val="00BB4E0E"/>
    <w:rsid w:val="00BC5409"/>
    <w:rsid w:val="00C04CC0"/>
    <w:rsid w:val="00C117D0"/>
    <w:rsid w:val="00C21978"/>
    <w:rsid w:val="00C470E2"/>
    <w:rsid w:val="00C7744C"/>
    <w:rsid w:val="00C81E93"/>
    <w:rsid w:val="00C9649A"/>
    <w:rsid w:val="00CA3C21"/>
    <w:rsid w:val="00CE1726"/>
    <w:rsid w:val="00CE7323"/>
    <w:rsid w:val="00CF452A"/>
    <w:rsid w:val="00D54217"/>
    <w:rsid w:val="00D57243"/>
    <w:rsid w:val="00D9204E"/>
    <w:rsid w:val="00DC5B51"/>
    <w:rsid w:val="00DD2116"/>
    <w:rsid w:val="00DE05DC"/>
    <w:rsid w:val="00E23044"/>
    <w:rsid w:val="00E37038"/>
    <w:rsid w:val="00E37147"/>
    <w:rsid w:val="00E66CFD"/>
    <w:rsid w:val="00E91C6A"/>
    <w:rsid w:val="00EE663D"/>
    <w:rsid w:val="00F0139B"/>
    <w:rsid w:val="00F041B5"/>
    <w:rsid w:val="00F10EC2"/>
    <w:rsid w:val="00F15E12"/>
    <w:rsid w:val="00F54ED8"/>
    <w:rsid w:val="00F70416"/>
    <w:rsid w:val="00F714C0"/>
    <w:rsid w:val="00FA1E6D"/>
    <w:rsid w:val="00FE048F"/>
    <w:rsid w:val="00FE31CC"/>
    <w:rsid w:val="00FE45B4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F70416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E5B6F"/>
    <w:pPr>
      <w:widowControl w:val="0"/>
      <w:spacing w:before="240" w:after="120" w:line="240" w:lineRule="auto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E5B6F"/>
    <w:rPr>
      <w:rFonts w:ascii="Segoe UI" w:eastAsia="Arial" w:hAnsi="Segoe UI"/>
      <w:b/>
      <w:bCs/>
      <w:caps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AE5B6F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AE5B6F"/>
    <w:pPr>
      <w:spacing w:after="0" w:line="240" w:lineRule="auto"/>
    </w:pPr>
    <w:rPr>
      <w:rFonts w:ascii="Arial" w:eastAsiaTheme="minorHAnsi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E5B6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E0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FCCA724-BB9F-4D0F-8815-BB120D84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7</cp:revision>
  <cp:lastPrinted>2020-02-26T11:43:00Z</cp:lastPrinted>
  <dcterms:created xsi:type="dcterms:W3CDTF">2020-09-10T14:58:00Z</dcterms:created>
  <dcterms:modified xsi:type="dcterms:W3CDTF">2020-09-17T11:04:00Z</dcterms:modified>
</cp:coreProperties>
</file>